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C6" w:rsidRDefault="00B571C6" w:rsidP="006C7D4A">
      <w:pPr>
        <w:jc w:val="center"/>
        <w:rPr>
          <w:rFonts w:ascii="Calibri Light" w:hAnsi="Calibri Light"/>
          <w:sz w:val="48"/>
          <w:szCs w:val="48"/>
        </w:rPr>
      </w:pPr>
      <w:r w:rsidRPr="00875CA8">
        <w:rPr>
          <w:noProof/>
          <w:lang w:eastAsia="it-IT"/>
        </w:rPr>
        <w:drawing>
          <wp:inline distT="0" distB="0" distL="0" distR="0" wp14:anchorId="6F28A728" wp14:editId="05A1A2EC">
            <wp:extent cx="704850" cy="932571"/>
            <wp:effectExtent l="0" t="0" r="0" b="1270"/>
            <wp:docPr id="5" name="Immagine 5" descr="https://encrypted-tbn0.gstatic.com/images?q=tbn:ANd9GcQRkSPBlUfM3y8-zcGWzoektLDFn39pTYuYxy52myxk4Vx34u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QRkSPBlUfM3y8-zcGWzoektLDFn39pTYuYxy52myxk4Vx34up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77" cy="94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D4A" w:rsidRPr="00380E43" w:rsidRDefault="006C7D4A" w:rsidP="006C7D4A">
      <w:pPr>
        <w:jc w:val="center"/>
        <w:rPr>
          <w:rFonts w:ascii="Calibri Light" w:hAnsi="Calibri Light"/>
          <w:sz w:val="48"/>
          <w:szCs w:val="48"/>
        </w:rPr>
      </w:pPr>
      <w:bookmarkStart w:id="0" w:name="_GoBack"/>
      <w:bookmarkEnd w:id="0"/>
      <w:r w:rsidRPr="00380E43">
        <w:rPr>
          <w:rFonts w:ascii="Calibri Light" w:hAnsi="Calibri Light"/>
          <w:sz w:val="48"/>
          <w:szCs w:val="48"/>
        </w:rPr>
        <w:t xml:space="preserve">COMUNE DI </w:t>
      </w:r>
      <w:r w:rsidR="00B571C6">
        <w:rPr>
          <w:rFonts w:ascii="Calibri Light" w:hAnsi="Calibri Light"/>
          <w:sz w:val="48"/>
          <w:szCs w:val="48"/>
        </w:rPr>
        <w:t>LOGRATO</w:t>
      </w:r>
      <w:r w:rsidRPr="00380E43">
        <w:rPr>
          <w:rFonts w:ascii="Calibri Light" w:hAnsi="Calibri Light"/>
          <w:sz w:val="48"/>
          <w:szCs w:val="48"/>
        </w:rPr>
        <w:t xml:space="preserve"> </w:t>
      </w:r>
    </w:p>
    <w:p w:rsidR="006C7D4A" w:rsidRDefault="006C7D4A" w:rsidP="006C7D4A">
      <w:pPr>
        <w:jc w:val="center"/>
        <w:rPr>
          <w:rFonts w:ascii="Calibri Light" w:hAnsi="Calibri Light"/>
          <w:sz w:val="36"/>
          <w:szCs w:val="36"/>
        </w:rPr>
      </w:pPr>
      <w:r w:rsidRPr="00380E43">
        <w:rPr>
          <w:rFonts w:ascii="Calibri Light" w:hAnsi="Calibri Light"/>
          <w:sz w:val="36"/>
          <w:szCs w:val="36"/>
        </w:rPr>
        <w:t xml:space="preserve">Provincia di Brescia </w:t>
      </w:r>
    </w:p>
    <w:p w:rsidR="006C7D4A" w:rsidRDefault="006C7D4A" w:rsidP="006C7D4A">
      <w:pPr>
        <w:jc w:val="center"/>
        <w:rPr>
          <w:rFonts w:ascii="Calibri Light" w:hAnsi="Calibri Light"/>
          <w:sz w:val="36"/>
          <w:szCs w:val="36"/>
        </w:rPr>
      </w:pPr>
    </w:p>
    <w:p w:rsidR="006C7D4A" w:rsidRDefault="006C7D4A" w:rsidP="006C7D4A">
      <w:pPr>
        <w:jc w:val="center"/>
        <w:rPr>
          <w:rFonts w:ascii="Calibri Light" w:hAnsi="Calibri Light"/>
          <w:sz w:val="36"/>
          <w:szCs w:val="36"/>
        </w:rPr>
      </w:pPr>
    </w:p>
    <w:p w:rsidR="006C7D4A" w:rsidRDefault="006C7D4A" w:rsidP="006C7D4A">
      <w:pPr>
        <w:jc w:val="center"/>
        <w:rPr>
          <w:rFonts w:ascii="Calibri Light" w:hAnsi="Calibri Light"/>
          <w:sz w:val="36"/>
          <w:szCs w:val="36"/>
        </w:rPr>
      </w:pPr>
    </w:p>
    <w:p w:rsidR="006C7D4A" w:rsidRDefault="006C7D4A" w:rsidP="006C7D4A">
      <w:pPr>
        <w:jc w:val="center"/>
        <w:rPr>
          <w:rFonts w:ascii="Calibri Light" w:hAnsi="Calibri Light"/>
          <w:sz w:val="36"/>
          <w:szCs w:val="36"/>
        </w:rPr>
      </w:pPr>
    </w:p>
    <w:p w:rsidR="00EE00CC" w:rsidRPr="00EC69D5" w:rsidRDefault="00EE00CC" w:rsidP="007701FD">
      <w:pPr>
        <w:spacing w:before="840"/>
        <w:jc w:val="center"/>
        <w:rPr>
          <w:sz w:val="40"/>
        </w:rPr>
      </w:pPr>
      <w:r w:rsidRPr="00EC69D5">
        <w:rPr>
          <w:sz w:val="40"/>
        </w:rPr>
        <w:t>Registro degli accessi</w:t>
      </w:r>
    </w:p>
    <w:p w:rsidR="00EE00CC" w:rsidRDefault="00EE00CC" w:rsidP="00EC69D5">
      <w:pPr>
        <w:jc w:val="center"/>
      </w:pPr>
      <w:r>
        <w:t xml:space="preserve">Linee guida </w:t>
      </w:r>
      <w:proofErr w:type="spellStart"/>
      <w:r>
        <w:t>Anac</w:t>
      </w:r>
      <w:proofErr w:type="spellEnd"/>
      <w:r>
        <w:t xml:space="preserve"> FOIA (del. 13</w:t>
      </w:r>
      <w:r w:rsidR="00E15923">
        <w:t>/</w:t>
      </w:r>
      <w:r>
        <w:t>09/2016)</w:t>
      </w:r>
    </w:p>
    <w:p w:rsidR="00EE00CC" w:rsidRDefault="00EE00CC" w:rsidP="007701FD">
      <w:pPr>
        <w:spacing w:before="720"/>
        <w:jc w:val="center"/>
      </w:pPr>
      <w:r>
        <w:t>Elenco delle richieste di accesso (atti, civico e generalizzato) con indicazione dell’oggetto e della data della richiesta nonché del relativo esito con la data della decisione</w:t>
      </w:r>
    </w:p>
    <w:p w:rsidR="00EC69D5" w:rsidRDefault="00EE00CC" w:rsidP="007701FD">
      <w:pPr>
        <w:spacing w:before="840"/>
        <w:jc w:val="center"/>
      </w:pPr>
      <w:r>
        <w:t>Da aggiornare con cadenza semestrale in Amministrazione Trasparente</w:t>
      </w:r>
    </w:p>
    <w:p w:rsidR="00750B34" w:rsidRDefault="00EE00CC" w:rsidP="00EC69D5">
      <w:pPr>
        <w:jc w:val="center"/>
      </w:pPr>
      <w:r>
        <w:t>(Altri contenuti/Accesso Civico)</w:t>
      </w:r>
    </w:p>
    <w:p w:rsidR="00EE00CC" w:rsidRDefault="00EE00CC" w:rsidP="00EE00CC"/>
    <w:p w:rsidR="00EE00CC" w:rsidRDefault="00EE00CC" w:rsidP="00EE00CC">
      <w:pPr>
        <w:sectPr w:rsidR="00EE00CC" w:rsidSect="008441CD">
          <w:footerReference w:type="default" r:id="rId8"/>
          <w:footerReference w:type="first" r:id="rId9"/>
          <w:pgSz w:w="11906" w:h="16838" w:code="9"/>
          <w:pgMar w:top="1134" w:right="1134" w:bottom="1134" w:left="1134" w:header="720" w:footer="340" w:gutter="0"/>
          <w:cols w:space="708"/>
          <w:titlePg/>
          <w:docGrid w:linePitch="360"/>
        </w:sectPr>
      </w:pPr>
    </w:p>
    <w:p w:rsidR="00EC69D5" w:rsidRPr="006C7D4A" w:rsidRDefault="00EC69D5" w:rsidP="006C7D4A">
      <w:pPr>
        <w:jc w:val="center"/>
        <w:rPr>
          <w:rFonts w:ascii="Calibri Light" w:hAnsi="Calibri Light"/>
          <w:b/>
          <w:sz w:val="48"/>
          <w:szCs w:val="48"/>
        </w:rPr>
      </w:pPr>
      <w:r w:rsidRPr="006C7D4A">
        <w:rPr>
          <w:rFonts w:ascii="Calibri Light" w:hAnsi="Calibri Light"/>
          <w:b/>
          <w:sz w:val="48"/>
          <w:szCs w:val="48"/>
        </w:rPr>
        <w:lastRenderedPageBreak/>
        <w:t xml:space="preserve">Comune di </w:t>
      </w:r>
      <w:r w:rsidR="00B571C6">
        <w:rPr>
          <w:rFonts w:ascii="Calibri Light" w:hAnsi="Calibri Light"/>
          <w:b/>
          <w:sz w:val="48"/>
          <w:szCs w:val="48"/>
        </w:rPr>
        <w:t>LOGRATO</w:t>
      </w:r>
    </w:p>
    <w:p w:rsidR="00EE00CC" w:rsidRPr="007701FD" w:rsidRDefault="00EE00CC" w:rsidP="007701FD">
      <w:pPr>
        <w:spacing w:before="120"/>
        <w:jc w:val="center"/>
        <w:rPr>
          <w:b/>
          <w:i/>
          <w:sz w:val="32"/>
        </w:rPr>
      </w:pPr>
      <w:r w:rsidRPr="007701FD">
        <w:rPr>
          <w:b/>
          <w:i/>
          <w:sz w:val="32"/>
        </w:rPr>
        <w:t>Registro degli accessi</w:t>
      </w:r>
    </w:p>
    <w:p w:rsidR="00774566" w:rsidRPr="00EE00CC" w:rsidRDefault="00774566" w:rsidP="007701FD">
      <w:pPr>
        <w:spacing w:before="240" w:after="480"/>
        <w:jc w:val="center"/>
        <w:rPr>
          <w:b/>
        </w:rPr>
      </w:pPr>
      <w:r>
        <w:rPr>
          <w:b/>
        </w:rPr>
        <w:t xml:space="preserve">Questo registro va aggiornato ogni sei mesi e pubblicato in </w:t>
      </w:r>
      <w:r w:rsidRPr="00774566">
        <w:rPr>
          <w:b/>
        </w:rPr>
        <w:t>Amministrazione Trasparente (Altri contenuti/Accesso Civico)</w:t>
      </w:r>
    </w:p>
    <w:tbl>
      <w:tblPr>
        <w:tblW w:w="1474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992"/>
        <w:gridCol w:w="3560"/>
        <w:gridCol w:w="723"/>
        <w:gridCol w:w="962"/>
        <w:gridCol w:w="3863"/>
        <w:gridCol w:w="1839"/>
      </w:tblGrid>
      <w:tr w:rsidR="006C7D4A" w:rsidRPr="004D24BC" w:rsidTr="006C7D4A">
        <w:tc>
          <w:tcPr>
            <w:tcW w:w="1668" w:type="dxa"/>
            <w:vMerge w:val="restart"/>
            <w:shd w:val="clear" w:color="auto" w:fill="auto"/>
            <w:vAlign w:val="center"/>
          </w:tcPr>
          <w:p w:rsidR="006C7D4A" w:rsidRPr="004D24BC" w:rsidRDefault="006C7D4A" w:rsidP="00680FFB">
            <w:pPr>
              <w:spacing w:after="0"/>
              <w:jc w:val="center"/>
            </w:pPr>
            <w:r w:rsidRPr="004D24BC">
              <w:t>Tipo di accesso</w:t>
            </w:r>
          </w:p>
        </w:tc>
        <w:tc>
          <w:tcPr>
            <w:tcW w:w="5686" w:type="dxa"/>
            <w:gridSpan w:val="3"/>
            <w:shd w:val="clear" w:color="auto" w:fill="auto"/>
            <w:vAlign w:val="center"/>
          </w:tcPr>
          <w:p w:rsidR="006C7D4A" w:rsidRPr="004D24BC" w:rsidRDefault="006C7D4A" w:rsidP="00680FFB">
            <w:pPr>
              <w:spacing w:after="0"/>
              <w:jc w:val="center"/>
            </w:pPr>
            <w:r w:rsidRPr="004D24BC">
              <w:t>Riferimenti dell’istanza</w:t>
            </w:r>
          </w:p>
        </w:tc>
        <w:tc>
          <w:tcPr>
            <w:tcW w:w="5548" w:type="dxa"/>
            <w:gridSpan w:val="3"/>
            <w:shd w:val="clear" w:color="auto" w:fill="auto"/>
            <w:vAlign w:val="center"/>
          </w:tcPr>
          <w:p w:rsidR="006C7D4A" w:rsidRPr="004D24BC" w:rsidRDefault="006C7D4A" w:rsidP="00680FFB">
            <w:pPr>
              <w:spacing w:after="0"/>
              <w:jc w:val="center"/>
            </w:pPr>
            <w:r w:rsidRPr="004D24BC">
              <w:t>Riferimenti del provvedimento finale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6C7D4A" w:rsidRPr="004D24BC" w:rsidRDefault="006C7D4A" w:rsidP="00680FFB">
            <w:pPr>
              <w:spacing w:after="0"/>
              <w:jc w:val="center"/>
            </w:pPr>
            <w:r>
              <w:t>Ufficio interessato</w:t>
            </w:r>
          </w:p>
        </w:tc>
      </w:tr>
      <w:tr w:rsidR="006C7D4A" w:rsidRPr="004D24BC" w:rsidTr="006C7D4A">
        <w:tc>
          <w:tcPr>
            <w:tcW w:w="1668" w:type="dxa"/>
            <w:vMerge/>
            <w:shd w:val="clear" w:color="auto" w:fill="auto"/>
          </w:tcPr>
          <w:p w:rsidR="006C7D4A" w:rsidRPr="004D24BC" w:rsidRDefault="006C7D4A" w:rsidP="00521D75">
            <w:pPr>
              <w:spacing w:after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7D4A" w:rsidRPr="004D24BC" w:rsidRDefault="006C7D4A" w:rsidP="00521D75">
            <w:pPr>
              <w:spacing w:after="0"/>
              <w:jc w:val="center"/>
            </w:pPr>
            <w:r w:rsidRPr="004D24BC">
              <w:t>Prot.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D4A" w:rsidRPr="004D24BC" w:rsidRDefault="006C7D4A" w:rsidP="00521D75">
            <w:pPr>
              <w:spacing w:after="0"/>
              <w:jc w:val="center"/>
            </w:pPr>
            <w:r w:rsidRPr="004D24BC">
              <w:t>Data</w:t>
            </w:r>
          </w:p>
        </w:tc>
        <w:tc>
          <w:tcPr>
            <w:tcW w:w="3560" w:type="dxa"/>
            <w:shd w:val="clear" w:color="auto" w:fill="auto"/>
            <w:vAlign w:val="center"/>
          </w:tcPr>
          <w:p w:rsidR="006C7D4A" w:rsidRPr="004D24BC" w:rsidRDefault="006C7D4A" w:rsidP="00521D75">
            <w:pPr>
              <w:spacing w:after="0"/>
              <w:jc w:val="center"/>
            </w:pPr>
            <w:r w:rsidRPr="004D24BC">
              <w:t>Oggetto</w:t>
            </w:r>
            <w:r>
              <w:rPr>
                <w:rStyle w:val="Rimandonotaapidipagina"/>
              </w:rPr>
              <w:footnoteReference w:id="1"/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C7D4A" w:rsidRPr="004D24BC" w:rsidRDefault="006C7D4A" w:rsidP="00521D75">
            <w:pPr>
              <w:spacing w:after="0"/>
              <w:jc w:val="center"/>
            </w:pPr>
            <w:r w:rsidRPr="004D24BC">
              <w:t>Prot.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C7D4A" w:rsidRPr="004D24BC" w:rsidRDefault="006C7D4A" w:rsidP="00521D75">
            <w:pPr>
              <w:spacing w:after="0"/>
              <w:jc w:val="center"/>
            </w:pPr>
            <w:r w:rsidRPr="004D24BC">
              <w:t>Data</w:t>
            </w:r>
          </w:p>
        </w:tc>
        <w:tc>
          <w:tcPr>
            <w:tcW w:w="3863" w:type="dxa"/>
            <w:shd w:val="clear" w:color="auto" w:fill="auto"/>
            <w:vAlign w:val="center"/>
          </w:tcPr>
          <w:p w:rsidR="006C7D4A" w:rsidRPr="004D24BC" w:rsidRDefault="006C7D4A" w:rsidP="00521D75">
            <w:pPr>
              <w:spacing w:after="0"/>
              <w:jc w:val="center"/>
            </w:pPr>
            <w:r w:rsidRPr="004D24BC">
              <w:t>Definizione</w:t>
            </w:r>
          </w:p>
        </w:tc>
        <w:tc>
          <w:tcPr>
            <w:tcW w:w="1839" w:type="dxa"/>
            <w:vMerge/>
            <w:shd w:val="clear" w:color="auto" w:fill="auto"/>
          </w:tcPr>
          <w:p w:rsidR="006C7D4A" w:rsidRPr="004D24BC" w:rsidRDefault="006C7D4A" w:rsidP="00521D75">
            <w:pPr>
              <w:spacing w:after="0"/>
            </w:pPr>
          </w:p>
        </w:tc>
      </w:tr>
      <w:tr w:rsidR="006C7D4A" w:rsidRPr="004D24BC" w:rsidTr="006C7D4A">
        <w:tc>
          <w:tcPr>
            <w:tcW w:w="1668" w:type="dxa"/>
            <w:shd w:val="clear" w:color="auto" w:fill="auto"/>
            <w:vAlign w:val="center"/>
          </w:tcPr>
          <w:p w:rsidR="006C7D4A" w:rsidRPr="007701FD" w:rsidRDefault="00B571C6" w:rsidP="00521D75">
            <w:pPr>
              <w:spacing w:after="0"/>
              <w:jc w:val="left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125524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Civico</w:t>
            </w:r>
          </w:p>
          <w:p w:rsidR="006C7D4A" w:rsidRPr="007701FD" w:rsidRDefault="00B571C6" w:rsidP="00521D75">
            <w:pPr>
              <w:spacing w:after="0"/>
              <w:jc w:val="left"/>
              <w:rPr>
                <w:sz w:val="20"/>
                <w:szCs w:val="16"/>
              </w:rPr>
            </w:pPr>
            <w:sdt>
              <w:sdtPr>
                <w:rPr>
                  <w:rFonts w:ascii="Webdings" w:hAnsi="Webdings"/>
                  <w:sz w:val="20"/>
                  <w:szCs w:val="16"/>
                </w:rPr>
                <w:id w:val="4280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Generalizzato</w:t>
            </w:r>
          </w:p>
          <w:p w:rsidR="006C7D4A" w:rsidRPr="004D24BC" w:rsidRDefault="00B571C6" w:rsidP="00521D75">
            <w:pPr>
              <w:spacing w:after="0"/>
              <w:jc w:val="left"/>
            </w:pPr>
            <w:sdt>
              <w:sdtPr>
                <w:rPr>
                  <w:sz w:val="20"/>
                  <w:szCs w:val="16"/>
                </w:rPr>
                <w:id w:val="-151745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Documentale</w:t>
            </w:r>
          </w:p>
        </w:tc>
        <w:tc>
          <w:tcPr>
            <w:tcW w:w="1134" w:type="dxa"/>
            <w:shd w:val="clear" w:color="auto" w:fill="auto"/>
          </w:tcPr>
          <w:p w:rsidR="006C7D4A" w:rsidRPr="004D24BC" w:rsidRDefault="006C7D4A" w:rsidP="00521D75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:rsidR="006C7D4A" w:rsidRPr="004D24BC" w:rsidRDefault="006C7D4A" w:rsidP="00521D75">
            <w:pPr>
              <w:spacing w:after="0"/>
            </w:pPr>
          </w:p>
        </w:tc>
        <w:tc>
          <w:tcPr>
            <w:tcW w:w="3560" w:type="dxa"/>
            <w:shd w:val="clear" w:color="auto" w:fill="auto"/>
          </w:tcPr>
          <w:p w:rsidR="006C7D4A" w:rsidRPr="00E15923" w:rsidRDefault="006C7D4A" w:rsidP="00521D75">
            <w:pPr>
              <w:spacing w:before="120" w:after="0"/>
              <w:jc w:val="left"/>
              <w:rPr>
                <w:sz w:val="22"/>
                <w:highlight w:val="yellow"/>
              </w:rPr>
            </w:pPr>
          </w:p>
          <w:p w:rsidR="006C7D4A" w:rsidRPr="004D24BC" w:rsidRDefault="006C7D4A" w:rsidP="00521D75">
            <w:pPr>
              <w:spacing w:after="0"/>
              <w:jc w:val="left"/>
            </w:pPr>
          </w:p>
        </w:tc>
        <w:tc>
          <w:tcPr>
            <w:tcW w:w="723" w:type="dxa"/>
            <w:shd w:val="clear" w:color="auto" w:fill="auto"/>
          </w:tcPr>
          <w:p w:rsidR="006C7D4A" w:rsidRPr="004D24BC" w:rsidRDefault="006C7D4A" w:rsidP="00521D75">
            <w:pPr>
              <w:spacing w:after="0"/>
            </w:pPr>
          </w:p>
        </w:tc>
        <w:tc>
          <w:tcPr>
            <w:tcW w:w="962" w:type="dxa"/>
            <w:shd w:val="clear" w:color="auto" w:fill="auto"/>
          </w:tcPr>
          <w:p w:rsidR="006C7D4A" w:rsidRPr="004D24BC" w:rsidRDefault="006C7D4A" w:rsidP="00521D75">
            <w:pPr>
              <w:spacing w:after="0"/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6C7D4A" w:rsidRPr="007701FD" w:rsidRDefault="00B571C6" w:rsidP="00521D75">
            <w:pPr>
              <w:spacing w:before="120" w:after="0"/>
              <w:jc w:val="left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65642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Irricevibile (art. 2 L.241/1990)</w:t>
            </w:r>
          </w:p>
          <w:p w:rsidR="006C7D4A" w:rsidRPr="007701FD" w:rsidRDefault="00B571C6" w:rsidP="00521D75">
            <w:pPr>
              <w:spacing w:after="0"/>
              <w:jc w:val="left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150478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Accoglimento previa notifica ai controinteressati</w:t>
            </w:r>
          </w:p>
          <w:p w:rsidR="006C7D4A" w:rsidRPr="007701FD" w:rsidRDefault="00B571C6" w:rsidP="00521D75">
            <w:pPr>
              <w:spacing w:after="0"/>
              <w:jc w:val="left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72295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Accoglimento semplice</w:t>
            </w:r>
          </w:p>
          <w:p w:rsidR="006C7D4A" w:rsidRPr="007701FD" w:rsidRDefault="00B571C6" w:rsidP="00521D75">
            <w:pPr>
              <w:spacing w:after="0"/>
              <w:jc w:val="left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6364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Accoglimento con differimento o limitazione</w:t>
            </w:r>
          </w:p>
          <w:p w:rsidR="006C7D4A" w:rsidRPr="007701FD" w:rsidRDefault="00B571C6" w:rsidP="00521D75">
            <w:pPr>
              <w:spacing w:after="0"/>
              <w:jc w:val="left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24670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Accoglimento dopo preavviso di rigetto</w:t>
            </w:r>
          </w:p>
          <w:p w:rsidR="006C7D4A" w:rsidRPr="004D24BC" w:rsidRDefault="00B571C6" w:rsidP="00521D75">
            <w:pPr>
              <w:jc w:val="left"/>
            </w:pPr>
            <w:sdt>
              <w:sdtPr>
                <w:rPr>
                  <w:sz w:val="20"/>
                  <w:szCs w:val="16"/>
                </w:rPr>
                <w:id w:val="-202754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Rigetto previo preavviso di rigetto</w:t>
            </w:r>
          </w:p>
        </w:tc>
        <w:tc>
          <w:tcPr>
            <w:tcW w:w="1839" w:type="dxa"/>
            <w:shd w:val="clear" w:color="auto" w:fill="auto"/>
          </w:tcPr>
          <w:p w:rsidR="006C7D4A" w:rsidRPr="004D24BC" w:rsidRDefault="006C7D4A" w:rsidP="00521D75">
            <w:pPr>
              <w:spacing w:after="0"/>
            </w:pPr>
          </w:p>
        </w:tc>
      </w:tr>
      <w:tr w:rsidR="006C7D4A" w:rsidRPr="004D24BC" w:rsidTr="006C7D4A">
        <w:tc>
          <w:tcPr>
            <w:tcW w:w="1668" w:type="dxa"/>
            <w:shd w:val="clear" w:color="auto" w:fill="auto"/>
            <w:vAlign w:val="center"/>
          </w:tcPr>
          <w:p w:rsidR="006C7D4A" w:rsidRPr="007701FD" w:rsidRDefault="00B571C6" w:rsidP="00521D75">
            <w:pPr>
              <w:spacing w:after="0"/>
              <w:jc w:val="left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175073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Civico</w:t>
            </w:r>
          </w:p>
          <w:p w:rsidR="006C7D4A" w:rsidRPr="007701FD" w:rsidRDefault="00B571C6" w:rsidP="00521D75">
            <w:pPr>
              <w:spacing w:after="0"/>
              <w:jc w:val="left"/>
              <w:rPr>
                <w:sz w:val="20"/>
                <w:szCs w:val="16"/>
              </w:rPr>
            </w:pPr>
            <w:sdt>
              <w:sdtPr>
                <w:rPr>
                  <w:rFonts w:ascii="Webdings" w:hAnsi="Webdings"/>
                  <w:sz w:val="20"/>
                  <w:szCs w:val="16"/>
                </w:rPr>
                <w:id w:val="-136081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Generalizzato</w:t>
            </w:r>
          </w:p>
          <w:p w:rsidR="006C7D4A" w:rsidRPr="004D24BC" w:rsidRDefault="00B571C6" w:rsidP="00521D75">
            <w:pPr>
              <w:spacing w:after="0"/>
              <w:jc w:val="left"/>
              <w:rPr>
                <w:sz w:val="16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160548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Documentale</w:t>
            </w:r>
          </w:p>
        </w:tc>
        <w:tc>
          <w:tcPr>
            <w:tcW w:w="1134" w:type="dxa"/>
            <w:shd w:val="clear" w:color="auto" w:fill="auto"/>
          </w:tcPr>
          <w:p w:rsidR="006C7D4A" w:rsidRPr="004D24BC" w:rsidRDefault="006C7D4A" w:rsidP="00521D75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:rsidR="006C7D4A" w:rsidRPr="004D24BC" w:rsidRDefault="006C7D4A" w:rsidP="00521D75">
            <w:pPr>
              <w:spacing w:after="0"/>
            </w:pPr>
          </w:p>
        </w:tc>
        <w:tc>
          <w:tcPr>
            <w:tcW w:w="3560" w:type="dxa"/>
            <w:shd w:val="clear" w:color="auto" w:fill="auto"/>
          </w:tcPr>
          <w:p w:rsidR="006C7D4A" w:rsidRPr="004D24BC" w:rsidRDefault="006C7D4A" w:rsidP="00521D75">
            <w:pPr>
              <w:spacing w:after="0"/>
            </w:pPr>
          </w:p>
        </w:tc>
        <w:tc>
          <w:tcPr>
            <w:tcW w:w="723" w:type="dxa"/>
            <w:shd w:val="clear" w:color="auto" w:fill="auto"/>
          </w:tcPr>
          <w:p w:rsidR="006C7D4A" w:rsidRPr="004D24BC" w:rsidRDefault="006C7D4A" w:rsidP="00521D75">
            <w:pPr>
              <w:spacing w:after="0"/>
            </w:pPr>
          </w:p>
        </w:tc>
        <w:tc>
          <w:tcPr>
            <w:tcW w:w="962" w:type="dxa"/>
            <w:shd w:val="clear" w:color="auto" w:fill="auto"/>
          </w:tcPr>
          <w:p w:rsidR="006C7D4A" w:rsidRPr="004D24BC" w:rsidRDefault="006C7D4A" w:rsidP="00521D75">
            <w:pPr>
              <w:spacing w:after="0"/>
            </w:pPr>
          </w:p>
        </w:tc>
        <w:tc>
          <w:tcPr>
            <w:tcW w:w="3863" w:type="dxa"/>
            <w:shd w:val="clear" w:color="auto" w:fill="auto"/>
            <w:vAlign w:val="center"/>
          </w:tcPr>
          <w:p w:rsidR="006C7D4A" w:rsidRPr="007701FD" w:rsidRDefault="00B571C6" w:rsidP="00521D75">
            <w:pPr>
              <w:spacing w:before="120" w:after="0"/>
              <w:jc w:val="left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200931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Irricevibile (art. 2 L.241/1990)</w:t>
            </w:r>
          </w:p>
          <w:p w:rsidR="006C7D4A" w:rsidRPr="007701FD" w:rsidRDefault="00B571C6" w:rsidP="00521D75">
            <w:pPr>
              <w:spacing w:after="0"/>
              <w:jc w:val="left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109732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Accoglimento previa notifica ai controinteressati</w:t>
            </w:r>
          </w:p>
          <w:p w:rsidR="006C7D4A" w:rsidRPr="007701FD" w:rsidRDefault="00B571C6" w:rsidP="00521D75">
            <w:pPr>
              <w:spacing w:after="0"/>
              <w:jc w:val="left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205229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Accoglimento semplice</w:t>
            </w:r>
          </w:p>
          <w:p w:rsidR="006C7D4A" w:rsidRPr="007701FD" w:rsidRDefault="00B571C6" w:rsidP="00521D75">
            <w:pPr>
              <w:spacing w:after="0"/>
              <w:jc w:val="left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174630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Accoglimento con differimento o limitazione</w:t>
            </w:r>
          </w:p>
          <w:p w:rsidR="006C7D4A" w:rsidRPr="007701FD" w:rsidRDefault="00B571C6" w:rsidP="00521D75">
            <w:pPr>
              <w:spacing w:after="0"/>
              <w:jc w:val="left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-5587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 xml:space="preserve"> Accoglimento dopo preavviso di rigetto</w:t>
            </w:r>
          </w:p>
          <w:p w:rsidR="006C7D4A" w:rsidRPr="004D24BC" w:rsidRDefault="00B571C6" w:rsidP="00521D75">
            <w:pPr>
              <w:jc w:val="left"/>
            </w:pPr>
            <w:sdt>
              <w:sdtPr>
                <w:rPr>
                  <w:sz w:val="20"/>
                  <w:szCs w:val="16"/>
                </w:rPr>
                <w:id w:val="-57050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D4A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6C7D4A" w:rsidRPr="007701FD">
              <w:rPr>
                <w:sz w:val="20"/>
                <w:szCs w:val="16"/>
              </w:rPr>
              <w:t>Rigetto previo preavviso di rigetto</w:t>
            </w:r>
          </w:p>
        </w:tc>
        <w:tc>
          <w:tcPr>
            <w:tcW w:w="1839" w:type="dxa"/>
            <w:shd w:val="clear" w:color="auto" w:fill="auto"/>
          </w:tcPr>
          <w:p w:rsidR="006C7D4A" w:rsidRPr="004D24BC" w:rsidRDefault="006C7D4A" w:rsidP="00521D75">
            <w:pPr>
              <w:spacing w:after="0"/>
            </w:pPr>
          </w:p>
        </w:tc>
      </w:tr>
    </w:tbl>
    <w:p w:rsidR="005D2220" w:rsidRDefault="005D2220" w:rsidP="004D24BC">
      <w:pPr>
        <w:spacing w:after="0"/>
        <w:sectPr w:rsidR="005D2220" w:rsidSect="00EE00CC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5D2220" w:rsidRDefault="005D2220" w:rsidP="004D24BC">
      <w:pPr>
        <w:spacing w:after="0"/>
        <w:sectPr w:rsidR="005D2220" w:rsidSect="005D2220"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EE00CC" w:rsidRDefault="00EE00CC" w:rsidP="00EE00CC"/>
    <w:sectPr w:rsidR="00EE00CC" w:rsidSect="005D2220">
      <w:footnotePr>
        <w:numFmt w:val="chicago"/>
      </w:footnotePr>
      <w:type w:val="continuous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13" w:rsidRDefault="005F2C13" w:rsidP="008441CD">
      <w:pPr>
        <w:spacing w:after="0"/>
      </w:pPr>
      <w:r>
        <w:separator/>
      </w:r>
    </w:p>
  </w:endnote>
  <w:endnote w:type="continuationSeparator" w:id="0">
    <w:p w:rsidR="005F2C13" w:rsidRDefault="005F2C13" w:rsidP="008441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1CD" w:rsidRPr="008441CD" w:rsidRDefault="008441CD" w:rsidP="008441CD">
    <w:pPr>
      <w:tabs>
        <w:tab w:val="right" w:pos="9639"/>
      </w:tabs>
      <w:spacing w:after="0"/>
      <w:rPr>
        <w:rFonts w:eastAsia="Times New Roman"/>
        <w:sz w:val="10"/>
        <w:szCs w:val="10"/>
        <w:lang w:eastAsia="it-IT"/>
      </w:rPr>
    </w:pPr>
  </w:p>
  <w:p w:rsidR="008441CD" w:rsidRPr="008441CD" w:rsidRDefault="008441CD" w:rsidP="008441CD">
    <w:pPr>
      <w:tabs>
        <w:tab w:val="left" w:pos="3894"/>
        <w:tab w:val="right" w:pos="9639"/>
      </w:tabs>
      <w:spacing w:after="0"/>
      <w:rPr>
        <w:rFonts w:eastAsia="Times New Roman"/>
        <w:sz w:val="14"/>
        <w:szCs w:val="14"/>
        <w:lang w:eastAsia="it-IT"/>
      </w:rPr>
    </w:pPr>
    <w:r w:rsidRPr="008441CD">
      <w:rPr>
        <w:rFonts w:eastAsia="Times New Roman"/>
        <w:sz w:val="10"/>
        <w:szCs w:val="10"/>
        <w:lang w:eastAsia="it-IT"/>
      </w:rPr>
      <w:tab/>
    </w:r>
    <w:r w:rsidRPr="008441CD">
      <w:rPr>
        <w:rFonts w:eastAsia="Times New Roman"/>
        <w:sz w:val="10"/>
        <w:szCs w:val="10"/>
        <w:lang w:eastAsia="it-IT"/>
      </w:rPr>
      <w:tab/>
      <w:t xml:space="preserve">Pag. </w:t>
    </w:r>
    <w:r w:rsidRPr="008441CD">
      <w:rPr>
        <w:rFonts w:eastAsia="Times New Roman"/>
        <w:sz w:val="10"/>
        <w:szCs w:val="10"/>
        <w:lang w:eastAsia="it-IT"/>
      </w:rPr>
      <w:fldChar w:fldCharType="begin"/>
    </w:r>
    <w:r w:rsidRPr="008441CD">
      <w:rPr>
        <w:rFonts w:eastAsia="Times New Roman"/>
        <w:sz w:val="10"/>
        <w:szCs w:val="10"/>
        <w:lang w:eastAsia="it-IT"/>
      </w:rPr>
      <w:instrText xml:space="preserve"> PAGE </w:instrText>
    </w:r>
    <w:r w:rsidRPr="008441CD">
      <w:rPr>
        <w:rFonts w:eastAsia="Times New Roman"/>
        <w:sz w:val="10"/>
        <w:szCs w:val="10"/>
        <w:lang w:eastAsia="it-IT"/>
      </w:rPr>
      <w:fldChar w:fldCharType="separate"/>
    </w:r>
    <w:r w:rsidR="00B571C6">
      <w:rPr>
        <w:rFonts w:eastAsia="Times New Roman"/>
        <w:noProof/>
        <w:sz w:val="10"/>
        <w:szCs w:val="10"/>
        <w:lang w:eastAsia="it-IT"/>
      </w:rPr>
      <w:t>2</w:t>
    </w:r>
    <w:r w:rsidRPr="008441CD">
      <w:rPr>
        <w:rFonts w:eastAsia="Times New Roman"/>
        <w:sz w:val="10"/>
        <w:szCs w:val="10"/>
        <w:lang w:eastAsia="it-IT"/>
      </w:rPr>
      <w:fldChar w:fldCharType="end"/>
    </w:r>
    <w:r w:rsidRPr="008441CD">
      <w:rPr>
        <w:rFonts w:eastAsia="Times New Roman"/>
        <w:sz w:val="10"/>
        <w:szCs w:val="10"/>
        <w:lang w:eastAsia="it-IT"/>
      </w:rPr>
      <w:t xml:space="preserve"> di </w:t>
    </w:r>
    <w:r w:rsidRPr="008441CD">
      <w:rPr>
        <w:rFonts w:eastAsia="Times New Roman"/>
        <w:sz w:val="10"/>
        <w:szCs w:val="10"/>
        <w:lang w:eastAsia="it-IT"/>
      </w:rPr>
      <w:fldChar w:fldCharType="begin"/>
    </w:r>
    <w:r w:rsidRPr="008441CD">
      <w:rPr>
        <w:rFonts w:eastAsia="Times New Roman"/>
        <w:sz w:val="10"/>
        <w:szCs w:val="10"/>
        <w:lang w:eastAsia="it-IT"/>
      </w:rPr>
      <w:instrText xml:space="preserve"> NUMPAGES </w:instrText>
    </w:r>
    <w:r w:rsidRPr="008441CD">
      <w:rPr>
        <w:rFonts w:eastAsia="Times New Roman"/>
        <w:sz w:val="10"/>
        <w:szCs w:val="10"/>
        <w:lang w:eastAsia="it-IT"/>
      </w:rPr>
      <w:fldChar w:fldCharType="separate"/>
    </w:r>
    <w:r w:rsidR="00B571C6">
      <w:rPr>
        <w:rFonts w:eastAsia="Times New Roman"/>
        <w:noProof/>
        <w:sz w:val="10"/>
        <w:szCs w:val="10"/>
        <w:lang w:eastAsia="it-IT"/>
      </w:rPr>
      <w:t>2</w:t>
    </w:r>
    <w:r w:rsidRPr="008441CD">
      <w:rPr>
        <w:rFonts w:eastAsia="Times New Roman"/>
        <w:sz w:val="10"/>
        <w:szCs w:val="10"/>
        <w:lang w:eastAsia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1CD" w:rsidRPr="008441CD" w:rsidRDefault="008441CD" w:rsidP="008441CD">
    <w:pPr>
      <w:tabs>
        <w:tab w:val="center" w:pos="4819"/>
        <w:tab w:val="right" w:pos="9638"/>
      </w:tabs>
      <w:spacing w:after="0"/>
      <w:jc w:val="left"/>
      <w:rPr>
        <w:rFonts w:ascii="Times New Roman" w:eastAsia="Times New Roman" w:hAnsi="Times New Roman" w:cs="Times New Roman"/>
        <w:sz w:val="10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13" w:rsidRDefault="005F2C13" w:rsidP="008441CD">
      <w:pPr>
        <w:spacing w:after="0"/>
      </w:pPr>
      <w:r>
        <w:separator/>
      </w:r>
    </w:p>
  </w:footnote>
  <w:footnote w:type="continuationSeparator" w:id="0">
    <w:p w:rsidR="005F2C13" w:rsidRDefault="005F2C13" w:rsidP="008441CD">
      <w:pPr>
        <w:spacing w:after="0"/>
      </w:pPr>
      <w:r>
        <w:continuationSeparator/>
      </w:r>
    </w:p>
  </w:footnote>
  <w:footnote w:id="1">
    <w:p w:rsidR="006C7D4A" w:rsidRDefault="006C7D4A" w:rsidP="006C7D4A">
      <w:pPr>
        <w:pStyle w:val="Testonotaapidipagina"/>
      </w:pPr>
      <w:r w:rsidRPr="005D2220">
        <w:rPr>
          <w:rStyle w:val="Rimandonotaapidipagina"/>
        </w:rPr>
        <w:footnoteRef/>
      </w:r>
      <w:r w:rsidRPr="005D2220">
        <w:t xml:space="preserve"> </w:t>
      </w:r>
      <w:r w:rsidRPr="005D2220">
        <w:rPr>
          <w:sz w:val="16"/>
        </w:rPr>
        <w:t>(</w:t>
      </w:r>
      <w:r w:rsidRPr="005D2220">
        <w:rPr>
          <w:i/>
          <w:sz w:val="16"/>
        </w:rPr>
        <w:t>Indicare con le sole iniziali i nomi delle persone fisiche a tutela dei dati personali</w:t>
      </w:r>
      <w:r w:rsidRPr="005D2220">
        <w:rPr>
          <w:sz w:val="16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CC"/>
    <w:rsid w:val="001B302F"/>
    <w:rsid w:val="001E6278"/>
    <w:rsid w:val="004878A8"/>
    <w:rsid w:val="004D24BC"/>
    <w:rsid w:val="005D2220"/>
    <w:rsid w:val="005F2C13"/>
    <w:rsid w:val="00680FFB"/>
    <w:rsid w:val="006C7D4A"/>
    <w:rsid w:val="006D2302"/>
    <w:rsid w:val="00715D18"/>
    <w:rsid w:val="00750B34"/>
    <w:rsid w:val="00763B89"/>
    <w:rsid w:val="007701FD"/>
    <w:rsid w:val="00774566"/>
    <w:rsid w:val="00780D42"/>
    <w:rsid w:val="008441CD"/>
    <w:rsid w:val="00B571C6"/>
    <w:rsid w:val="00C40C99"/>
    <w:rsid w:val="00C94E0E"/>
    <w:rsid w:val="00CC7D61"/>
    <w:rsid w:val="00E15923"/>
    <w:rsid w:val="00EC69D5"/>
    <w:rsid w:val="00ED4173"/>
    <w:rsid w:val="00EE00CC"/>
    <w:rsid w:val="00F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42B3CAF-45DF-456D-8710-BDC6CDA0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0B34"/>
    <w:pPr>
      <w:spacing w:after="120"/>
      <w:jc w:val="both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E00C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C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441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1CD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41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41CD"/>
    <w:rPr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222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D2220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5D22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07804-3574-4F9F-BF56-AF13026D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Pasquini</dc:creator>
  <cp:keywords/>
  <dc:description/>
  <cp:lastModifiedBy>segretario</cp:lastModifiedBy>
  <cp:revision>4</cp:revision>
  <cp:lastPrinted>2017-03-06T11:44:00Z</cp:lastPrinted>
  <dcterms:created xsi:type="dcterms:W3CDTF">2017-02-21T14:57:00Z</dcterms:created>
  <dcterms:modified xsi:type="dcterms:W3CDTF">2017-03-06T11:45:00Z</dcterms:modified>
</cp:coreProperties>
</file>